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C16A8" w14:textId="36BB64AB" w:rsidR="006D0E79" w:rsidRPr="0074590A" w:rsidRDefault="00CE01CF" w:rsidP="006D0E79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 xml:space="preserve">3GPP TSG RAN WG1 </w:t>
      </w:r>
      <w:r w:rsidR="00637D76">
        <w:rPr>
          <w:rFonts w:cs="Arial"/>
          <w:b/>
          <w:sz w:val="24"/>
          <w:lang w:val="en-GB"/>
        </w:rPr>
        <w:t xml:space="preserve">Ad Hoc </w:t>
      </w:r>
      <w:r>
        <w:rPr>
          <w:rFonts w:cs="Arial"/>
          <w:b/>
          <w:sz w:val="24"/>
          <w:lang w:val="en-GB"/>
        </w:rPr>
        <w:t xml:space="preserve">Meeting </w:t>
      </w:r>
      <w:r w:rsidR="00ED6DB9" w:rsidRPr="00ED6DB9">
        <w:rPr>
          <w:rFonts w:cs="Arial"/>
          <w:b/>
          <w:sz w:val="24"/>
          <w:lang w:val="en-GB"/>
        </w:rPr>
        <w:t>1901</w:t>
      </w:r>
      <w:r w:rsidR="006D0E79">
        <w:rPr>
          <w:rFonts w:cs="Arial"/>
          <w:b/>
          <w:sz w:val="24"/>
          <w:lang w:val="en-GB"/>
        </w:rPr>
        <w:t xml:space="preserve">                                                                      </w:t>
      </w:r>
      <w:r w:rsidR="006D0E79">
        <w:rPr>
          <w:rFonts w:cs="Arial"/>
          <w:b/>
          <w:sz w:val="24"/>
          <w:lang w:val="en-GB"/>
        </w:rPr>
        <w:tab/>
      </w:r>
      <w:r w:rsidR="00B6131E" w:rsidRPr="00B6131E">
        <w:rPr>
          <w:rFonts w:cs="Arial"/>
          <w:b/>
          <w:sz w:val="24"/>
          <w:lang w:val="en-GB"/>
        </w:rPr>
        <w:t>R1-1900734</w:t>
      </w:r>
      <w:bookmarkStart w:id="0" w:name="_GoBack"/>
      <w:bookmarkEnd w:id="0"/>
    </w:p>
    <w:p w14:paraId="24C8009F" w14:textId="29459EED" w:rsidR="00EA743A" w:rsidRPr="00EA743A" w:rsidRDefault="00637D76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 w:rsidRPr="00637D76">
        <w:rPr>
          <w:rFonts w:cs="Arial"/>
          <w:b/>
          <w:sz w:val="24"/>
          <w:lang w:val="en-GB"/>
        </w:rPr>
        <w:t>Taipei, Taiwan, 21st – 25th January, 2019</w:t>
      </w:r>
    </w:p>
    <w:p w14:paraId="27CC8F42" w14:textId="1D9D7BA2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CE01CF">
        <w:rPr>
          <w:b/>
          <w:sz w:val="24"/>
          <w:szCs w:val="24"/>
        </w:rPr>
        <w:t>2</w:t>
      </w:r>
      <w:r w:rsidR="00965321">
        <w:rPr>
          <w:b/>
          <w:sz w:val="24"/>
          <w:szCs w:val="24"/>
        </w:rPr>
        <w:t>.</w:t>
      </w:r>
      <w:r w:rsidR="00222CD5">
        <w:rPr>
          <w:b/>
          <w:sz w:val="24"/>
          <w:szCs w:val="24"/>
        </w:rPr>
        <w:t>2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3B043E0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222CD5">
        <w:rPr>
          <w:b/>
          <w:sz w:val="24"/>
          <w:szCs w:val="24"/>
        </w:rPr>
        <w:t>Views on Random Access Enhancements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0497B80D" w:rsidR="00BC07D6" w:rsidRDefault="00CE01CF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Following the recently concluded s</w:t>
      </w:r>
      <w:r w:rsidR="0047618F">
        <w:rPr>
          <w:rFonts w:ascii="Calibri" w:hAnsi="Calibri"/>
        </w:rPr>
        <w:t xml:space="preserve">tudy item </w:t>
      </w:r>
      <w:r w:rsidR="00B359FB">
        <w:rPr>
          <w:rFonts w:ascii="Calibri" w:hAnsi="Calibri"/>
        </w:rPr>
        <w:t>on the feasibility</w:t>
      </w:r>
      <w:r w:rsidR="00C2432D">
        <w:rPr>
          <w:rFonts w:ascii="Calibri" w:hAnsi="Calibri"/>
        </w:rPr>
        <w:t xml:space="preserve"> of using NR in unlicensed spectrum</w:t>
      </w:r>
      <w:r>
        <w:rPr>
          <w:rFonts w:ascii="Calibri" w:hAnsi="Calibri"/>
        </w:rPr>
        <w:t>, the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>
        <w:rPr>
          <w:rFonts w:ascii="Calibri" w:hAnsi="Calibri"/>
        </w:rPr>
        <w:t xml:space="preserve">TR 38.889, several </w:t>
      </w:r>
      <w:r w:rsidR="00222CD5">
        <w:rPr>
          <w:rFonts w:ascii="Calibri" w:hAnsi="Calibri"/>
        </w:rPr>
        <w:t>proposals for enhancements of random access (RA) procedures across message 1/2/3/4 were listed without consensus and were</w:t>
      </w:r>
      <w:r>
        <w:rPr>
          <w:rFonts w:ascii="Calibri" w:hAnsi="Calibri"/>
        </w:rPr>
        <w:t xml:space="preserve"> left for finalization when specifications are developed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_Ref534795942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[2]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 xml:space="preserve">. In this contribution, we discuss the </w:t>
      </w:r>
      <w:r w:rsidR="00222CD5">
        <w:rPr>
          <w:rFonts w:ascii="Calibri" w:hAnsi="Calibri"/>
        </w:rPr>
        <w:t>necessity of such enhancements</w:t>
      </w:r>
      <w:r w:rsidR="004372E5">
        <w:rPr>
          <w:rFonts w:ascii="Calibri" w:hAnsi="Calibri"/>
        </w:rPr>
        <w:t xml:space="preserve"> for 4-step RA</w:t>
      </w:r>
      <w:r>
        <w:rPr>
          <w:rFonts w:ascii="Calibri" w:hAnsi="Calibri"/>
        </w:rPr>
        <w:t>.</w:t>
      </w:r>
    </w:p>
    <w:p w14:paraId="5C44AC42" w14:textId="77777777" w:rsidR="00F33B94" w:rsidRDefault="00F33B94" w:rsidP="004D58F6">
      <w:pPr>
        <w:pStyle w:val="maintext"/>
        <w:ind w:firstLineChars="0" w:firstLine="0"/>
        <w:rPr>
          <w:rFonts w:ascii="Calibri" w:hAnsi="Calibri"/>
        </w:rPr>
      </w:pPr>
    </w:p>
    <w:p w14:paraId="7E833F0D" w14:textId="354A759E" w:rsidR="00B94AAD" w:rsidRDefault="00E251EC" w:rsidP="00257F9A">
      <w:pPr>
        <w:pStyle w:val="Heading1"/>
      </w:pPr>
      <w:r>
        <w:t xml:space="preserve">NR-U </w:t>
      </w:r>
      <w:r w:rsidR="004372E5">
        <w:t xml:space="preserve">4-Step </w:t>
      </w:r>
      <w:r w:rsidR="00222CD5">
        <w:t>Random Access Procedure</w:t>
      </w:r>
    </w:p>
    <w:p w14:paraId="754B61CC" w14:textId="77777777" w:rsidR="00B5169C" w:rsidRDefault="00B5169C" w:rsidP="00A921DD">
      <w:pPr>
        <w:rPr>
          <w:b/>
        </w:rPr>
      </w:pPr>
    </w:p>
    <w:p w14:paraId="5570E0DC" w14:textId="7496E92E" w:rsidR="00ED6DB9" w:rsidRDefault="00222CD5" w:rsidP="00ED6DB9">
      <w:pPr>
        <w:pStyle w:val="Heading2"/>
      </w:pPr>
      <w:r>
        <w:t>Preamble transmission</w:t>
      </w:r>
    </w:p>
    <w:p w14:paraId="395CC56F" w14:textId="5219A58F" w:rsidR="00CE01CF" w:rsidRPr="00C64ECB" w:rsidRDefault="00ED6DB9" w:rsidP="00222CD5">
      <w:r w:rsidRPr="00ED6DB9">
        <w:t>TR</w:t>
      </w:r>
      <w:r>
        <w:t xml:space="preserve"> 38.889 </w:t>
      </w:r>
      <w:r w:rsidR="00637D76">
        <w:t xml:space="preserve">contains the following </w:t>
      </w:r>
      <w:r w:rsidR="00C2432D">
        <w:t>summary and candidates for enhancing preamble (msg1) transmissions:</w:t>
      </w:r>
    </w:p>
    <w:p w14:paraId="597FBC26" w14:textId="77777777" w:rsidR="00222CD5" w:rsidRPr="00C64ECB" w:rsidRDefault="00222CD5" w:rsidP="00222CD5">
      <w:pPr>
        <w:rPr>
          <w:lang w:eastAsia="x-none"/>
        </w:rPr>
      </w:pPr>
      <w:r w:rsidRPr="00C64ECB">
        <w:rPr>
          <w:lang w:eastAsia="x-none"/>
        </w:rPr>
        <w:t>For potential RACH resource enhancements, the following options have been identified for NR-U, beyond the flexibility already available in Rel-15, but consensus was not achieved. These options may be further considered when specifications are developed:</w:t>
      </w:r>
    </w:p>
    <w:p w14:paraId="1461DB51" w14:textId="77777777" w:rsidR="00222CD5" w:rsidRPr="00C64ECB" w:rsidRDefault="00222CD5" w:rsidP="00222CD5">
      <w:pPr>
        <w:pStyle w:val="B1"/>
        <w:ind w:firstLine="400"/>
      </w:pPr>
      <w:r w:rsidRPr="00C64ECB">
        <w:t>-</w:t>
      </w:r>
      <w:r w:rsidRPr="00C64ECB">
        <w:tab/>
        <w:t>Frequency-domain enhancement: Multiple PRACH resources across multiple LBT sub-bands/carriers for both contention-free and contention-based RA</w:t>
      </w:r>
    </w:p>
    <w:p w14:paraId="09278048" w14:textId="77777777" w:rsidR="00222CD5" w:rsidRPr="00C64ECB" w:rsidRDefault="00222CD5" w:rsidP="00222CD5">
      <w:pPr>
        <w:pStyle w:val="B1"/>
        <w:ind w:firstLine="400"/>
      </w:pPr>
      <w:r w:rsidRPr="00C64ECB">
        <w:t>-</w:t>
      </w:r>
      <w:r w:rsidRPr="00C64ECB">
        <w:tab/>
        <w:t>Time-domain enhancements:</w:t>
      </w:r>
    </w:p>
    <w:p w14:paraId="4B70F311" w14:textId="77777777" w:rsidR="00222CD5" w:rsidRPr="00C64ECB" w:rsidRDefault="00222CD5" w:rsidP="00222CD5">
      <w:pPr>
        <w:pStyle w:val="B2"/>
      </w:pPr>
      <w:r w:rsidRPr="00C64ECB">
        <w:t>-</w:t>
      </w:r>
      <w:r w:rsidRPr="00C64ECB">
        <w:tab/>
        <w:t xml:space="preserve">For connected mode UE, scheduling of PRACH resources via DCI. </w:t>
      </w:r>
    </w:p>
    <w:p w14:paraId="4729B3C2" w14:textId="77777777" w:rsidR="00222CD5" w:rsidRPr="00C64ECB" w:rsidRDefault="00222CD5" w:rsidP="00222CD5">
      <w:pPr>
        <w:pStyle w:val="B3"/>
      </w:pPr>
      <w:r w:rsidRPr="00C64ECB">
        <w:t>-</w:t>
      </w:r>
      <w:r w:rsidRPr="00C64ECB">
        <w:tab/>
        <w:t>Triggered PRACH within gNB acquired COT can use a new resource indicated by the DCI</w:t>
      </w:r>
    </w:p>
    <w:p w14:paraId="25E1F87D" w14:textId="77777777" w:rsidR="00222CD5" w:rsidRPr="00C64ECB" w:rsidRDefault="00222CD5" w:rsidP="00222CD5">
      <w:pPr>
        <w:pStyle w:val="B2"/>
      </w:pPr>
      <w:r w:rsidRPr="00C64ECB">
        <w:t>-</w:t>
      </w:r>
      <w:r w:rsidRPr="00C64ECB">
        <w:tab/>
        <w:t>For idle mode UE, scheduling of PRACH resources via paging</w:t>
      </w:r>
    </w:p>
    <w:p w14:paraId="6906932C" w14:textId="77777777" w:rsidR="00222CD5" w:rsidRPr="00C64ECB" w:rsidRDefault="00222CD5" w:rsidP="00222CD5">
      <w:pPr>
        <w:pStyle w:val="B3"/>
      </w:pPr>
      <w:r w:rsidRPr="00C64ECB">
        <w:t>-</w:t>
      </w:r>
      <w:r w:rsidRPr="00C64ECB">
        <w:tab/>
        <w:t>Note: potential inefficiency in network resource due to paging across multiple cells</w:t>
      </w:r>
    </w:p>
    <w:p w14:paraId="3C48EEEE" w14:textId="77777777" w:rsidR="00222CD5" w:rsidRPr="00C64ECB" w:rsidRDefault="00222CD5" w:rsidP="00222CD5">
      <w:pPr>
        <w:pStyle w:val="B2"/>
      </w:pPr>
      <w:r w:rsidRPr="00C64ECB">
        <w:t>-</w:t>
      </w:r>
      <w:r w:rsidRPr="00C64ECB">
        <w:tab/>
        <w:t>Additional, new RACH resources are used immediately following detection of DRS transmission</w:t>
      </w:r>
    </w:p>
    <w:p w14:paraId="5502E22C" w14:textId="77777777" w:rsidR="00222CD5" w:rsidRPr="00C64ECB" w:rsidRDefault="00222CD5" w:rsidP="00222CD5">
      <w:pPr>
        <w:pStyle w:val="B2"/>
      </w:pPr>
      <w:r w:rsidRPr="00C64ECB">
        <w:t>-</w:t>
      </w:r>
      <w:r w:rsidRPr="00C64ECB">
        <w:tab/>
        <w:t>Multiple PRACH transmissions before Msg2 reception in RAR window for initial access</w:t>
      </w:r>
    </w:p>
    <w:p w14:paraId="6AAB9749" w14:textId="77777777" w:rsidR="00222CD5" w:rsidRPr="00C64ECB" w:rsidRDefault="00222CD5" w:rsidP="00222CD5">
      <w:pPr>
        <w:pStyle w:val="B3"/>
      </w:pPr>
      <w:r w:rsidRPr="00C64ECB">
        <w:t>-</w:t>
      </w:r>
      <w:r w:rsidRPr="00C64ECB">
        <w:tab/>
        <w:t>Number of allowed transmissions is pre-defined or indicated, e.g., in RMSI</w:t>
      </w:r>
    </w:p>
    <w:p w14:paraId="53D7BB89" w14:textId="77777777" w:rsidR="00222CD5" w:rsidRPr="00C64ECB" w:rsidRDefault="00222CD5" w:rsidP="00222CD5">
      <w:pPr>
        <w:pStyle w:val="B2"/>
      </w:pPr>
      <w:r w:rsidRPr="00C64ECB">
        <w:t>-</w:t>
      </w:r>
      <w:r w:rsidRPr="00C64ECB">
        <w:tab/>
        <w:t>Group wise SSB-to-RO mapping by frequency first-time second manner, where grouping is in time domain</w:t>
      </w:r>
    </w:p>
    <w:p w14:paraId="5B28DDB7" w14:textId="77777777" w:rsidR="007632E9" w:rsidRDefault="007632E9" w:rsidP="002C7511"/>
    <w:p w14:paraId="168D953F" w14:textId="77777777" w:rsidR="007632E9" w:rsidRDefault="007632E9" w:rsidP="002C7511"/>
    <w:p w14:paraId="50A346EF" w14:textId="77777777" w:rsidR="007632E9" w:rsidRDefault="007632E9" w:rsidP="002C7511"/>
    <w:p w14:paraId="22E52FBE" w14:textId="77777777" w:rsidR="007632E9" w:rsidRDefault="007632E9" w:rsidP="002C7511"/>
    <w:p w14:paraId="686B1E9F" w14:textId="699C1A81" w:rsidR="004F79FA" w:rsidRDefault="004F79FA" w:rsidP="00CE01CF">
      <w:r w:rsidRPr="004F79FA">
        <w:lastRenderedPageBreak/>
        <w:t>In our view, the flexibility</w:t>
      </w:r>
      <w:r>
        <w:t xml:space="preserve"> for PRACH resources</w:t>
      </w:r>
      <w:r w:rsidRPr="004F79FA">
        <w:t xml:space="preserve"> already available in Rel-15 is </w:t>
      </w:r>
      <w:r>
        <w:t xml:space="preserve">largely </w:t>
      </w:r>
      <w:r w:rsidRPr="004F79FA">
        <w:t>sufficient</w:t>
      </w:r>
      <w:r>
        <w:t xml:space="preserve"> and any enhancements need to be justified with significant performance benefits. Further comments on the candidates are as follows.</w:t>
      </w:r>
    </w:p>
    <w:tbl>
      <w:tblPr>
        <w:tblStyle w:val="GridTable4-Accent1"/>
        <w:tblW w:w="0" w:type="auto"/>
        <w:tblLayout w:type="fixed"/>
        <w:tblLook w:val="04A0" w:firstRow="1" w:lastRow="0" w:firstColumn="1" w:lastColumn="0" w:noHBand="0" w:noVBand="1"/>
      </w:tblPr>
      <w:tblGrid>
        <w:gridCol w:w="4765"/>
        <w:gridCol w:w="5305"/>
      </w:tblGrid>
      <w:tr w:rsidR="004F79FA" w14:paraId="1931CBA8" w14:textId="77777777" w:rsidTr="004F79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54DFEC8F" w14:textId="4EE46935" w:rsidR="004F79FA" w:rsidRDefault="004F79FA" w:rsidP="00CE01CF">
            <w:r>
              <w:t>Candidate</w:t>
            </w:r>
          </w:p>
        </w:tc>
        <w:tc>
          <w:tcPr>
            <w:tcW w:w="5305" w:type="dxa"/>
          </w:tcPr>
          <w:p w14:paraId="2D8317B8" w14:textId="2BA508AC" w:rsidR="004F79FA" w:rsidRDefault="004F79FA" w:rsidP="00CE01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Comments</w:t>
            </w:r>
          </w:p>
        </w:tc>
      </w:tr>
      <w:tr w:rsidR="004F79FA" w14:paraId="303074C4" w14:textId="77777777" w:rsidTr="004F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265EAF65" w14:textId="35838060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Multiple PRACH resources across multiple LBT sub-bands/carriers for both contention-free and contention-based RA</w:t>
            </w:r>
          </w:p>
        </w:tc>
        <w:tc>
          <w:tcPr>
            <w:tcW w:w="5305" w:type="dxa"/>
          </w:tcPr>
          <w:p w14:paraId="197B747C" w14:textId="21F45A1B" w:rsidR="004F79FA" w:rsidRDefault="004F79FA" w:rsidP="00CE01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Multiple PRACH resources in frequency already supported in Rel-15, can be achieved by configuration</w:t>
            </w:r>
          </w:p>
        </w:tc>
      </w:tr>
      <w:tr w:rsidR="004F79FA" w14:paraId="60A00FBB" w14:textId="77777777" w:rsidTr="004F79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17012AA9" w14:textId="45F98CA0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For connected mode UE, scheduling of PRACH resources via DCI</w:t>
            </w:r>
          </w:p>
        </w:tc>
        <w:tc>
          <w:tcPr>
            <w:tcW w:w="5305" w:type="dxa"/>
          </w:tcPr>
          <w:p w14:paraId="22CE5503" w14:textId="5D1CAE6E" w:rsidR="004F79FA" w:rsidRDefault="009C3EE1" w:rsidP="00CE01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PDCCH order for RA with indication of preamble and RO already supported in DCI Format 1_0, additional indication of new resources would be a minor enhancement </w:t>
            </w:r>
          </w:p>
        </w:tc>
      </w:tr>
      <w:tr w:rsidR="004F79FA" w14:paraId="41248086" w14:textId="77777777" w:rsidTr="004F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4DFC5420" w14:textId="54C36DED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For idle mode UE, scheduling of PRACH resources via paging</w:t>
            </w:r>
          </w:p>
        </w:tc>
        <w:tc>
          <w:tcPr>
            <w:tcW w:w="5305" w:type="dxa"/>
          </w:tcPr>
          <w:p w14:paraId="6434300E" w14:textId="6C1DEA1B" w:rsidR="004F79FA" w:rsidRDefault="009C3EE1" w:rsidP="00CE01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This would lead to wasteful over-allocation of PRACH resources within all cells of a tracking area.</w:t>
            </w:r>
          </w:p>
        </w:tc>
      </w:tr>
      <w:tr w:rsidR="004F79FA" w14:paraId="7CB6C2D3" w14:textId="77777777" w:rsidTr="004F79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2F37CFAF" w14:textId="362EE3E7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Additional, new RACH resources are used immediately following detection of DRS transmission</w:t>
            </w:r>
          </w:p>
        </w:tc>
        <w:tc>
          <w:tcPr>
            <w:tcW w:w="5305" w:type="dxa"/>
          </w:tcPr>
          <w:p w14:paraId="0B27460B" w14:textId="4CBA1DA6" w:rsidR="004F79FA" w:rsidRDefault="009C3EE1" w:rsidP="00A229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If motivation is COT-sharing between DRS and PRACH, this can also be achieved by configuring PRACH resources </w:t>
            </w:r>
            <w:r w:rsidR="00A22957">
              <w:t>within or following</w:t>
            </w:r>
            <w:r>
              <w:t xml:space="preserve"> DRS transmission window </w:t>
            </w:r>
          </w:p>
        </w:tc>
      </w:tr>
      <w:tr w:rsidR="004F79FA" w14:paraId="45431252" w14:textId="77777777" w:rsidTr="004F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30635CB0" w14:textId="1B591F07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Multiple PRACH transmissions before Msg2 reception in RAR window for initial access</w:t>
            </w:r>
          </w:p>
        </w:tc>
        <w:tc>
          <w:tcPr>
            <w:tcW w:w="5305" w:type="dxa"/>
          </w:tcPr>
          <w:p w14:paraId="6EE794C4" w14:textId="2DF4F73E" w:rsidR="004F79FA" w:rsidRDefault="00A22957" w:rsidP="00CE01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Unnecessary channel occupancy, UE energy expenditure, and collisions with PRACH transmissions from other UEs</w:t>
            </w:r>
          </w:p>
        </w:tc>
      </w:tr>
      <w:tr w:rsidR="004F79FA" w14:paraId="312D284B" w14:textId="77777777" w:rsidTr="004F79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3922BC04" w14:textId="03EA08FB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Group wise SSB-to-RO mapping by frequency first-time second manner, where grouping is in time domain</w:t>
            </w:r>
          </w:p>
        </w:tc>
        <w:tc>
          <w:tcPr>
            <w:tcW w:w="5305" w:type="dxa"/>
          </w:tcPr>
          <w:p w14:paraId="0493B255" w14:textId="04F15583" w:rsidR="004F79FA" w:rsidRDefault="009C3EE1" w:rsidP="00CE01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Already supported to an extent in Rel-15, per our understanding.</w:t>
            </w:r>
          </w:p>
        </w:tc>
      </w:tr>
    </w:tbl>
    <w:p w14:paraId="131699B3" w14:textId="77777777" w:rsidR="004F79FA" w:rsidRDefault="004F79FA" w:rsidP="00CE01CF"/>
    <w:p w14:paraId="6F110316" w14:textId="0C509879" w:rsidR="00E31E13" w:rsidRDefault="004F79FA" w:rsidP="00CE01CF">
      <w:pPr>
        <w:rPr>
          <w:b/>
        </w:rPr>
      </w:pPr>
      <w:r w:rsidRPr="004F79FA">
        <w:t xml:space="preserve"> </w:t>
      </w:r>
      <w:r w:rsidR="00A22957" w:rsidRPr="00A22957">
        <w:rPr>
          <w:b/>
        </w:rPr>
        <w:t>Observation</w:t>
      </w:r>
      <w:r w:rsidRPr="00A22957">
        <w:rPr>
          <w:b/>
        </w:rPr>
        <w:t xml:space="preserve"> 1</w:t>
      </w:r>
      <w:r w:rsidR="00F42415" w:rsidRPr="00A22957">
        <w:rPr>
          <w:b/>
        </w:rPr>
        <w:t xml:space="preserve">: </w:t>
      </w:r>
      <w:r w:rsidR="00A22957" w:rsidRPr="00A22957">
        <w:rPr>
          <w:b/>
        </w:rPr>
        <w:t>The flexibility for PRACH resources already available in Rel-15 is largely sufficient and performance benefits of candidate enhancements in TR 38.889 are yet to be justified.</w:t>
      </w:r>
    </w:p>
    <w:p w14:paraId="39CE8868" w14:textId="77777777" w:rsidR="00572B57" w:rsidRPr="00A22957" w:rsidRDefault="00572B57" w:rsidP="00CE01CF">
      <w:pPr>
        <w:rPr>
          <w:b/>
        </w:rPr>
      </w:pPr>
    </w:p>
    <w:p w14:paraId="1E21312F" w14:textId="0C48BDBF" w:rsidR="00096B50" w:rsidRDefault="00222CD5" w:rsidP="00ED6DB9">
      <w:pPr>
        <w:pStyle w:val="Heading2"/>
      </w:pPr>
      <w:r>
        <w:t>Msg 2/3/4</w:t>
      </w:r>
    </w:p>
    <w:p w14:paraId="1B071C1A" w14:textId="4E99B106" w:rsidR="00222CD5" w:rsidRDefault="00637D76" w:rsidP="00222CD5">
      <w:r w:rsidRPr="00ED6DB9">
        <w:t>TR</w:t>
      </w:r>
      <w:r w:rsidR="00572B57">
        <w:t xml:space="preserve"> 38.889 states</w:t>
      </w:r>
      <w:r>
        <w:t xml:space="preserve"> the following </w:t>
      </w:r>
      <w:r w:rsidR="00572B57">
        <w:t>with respect to msg 2/3/4 enhancements:</w:t>
      </w:r>
    </w:p>
    <w:p w14:paraId="7ACDD2EE" w14:textId="138FE33A" w:rsidR="00222CD5" w:rsidRDefault="004F4495" w:rsidP="00222CD5">
      <w:pPr>
        <w:rPr>
          <w:lang w:eastAsia="x-none"/>
        </w:rPr>
      </w:pPr>
      <w:r>
        <w:t>“</w:t>
      </w:r>
      <w:r w:rsidR="00222CD5" w:rsidRPr="00C64ECB">
        <w:t xml:space="preserve">Other candidate mechanisms that were identified without reaching consensus include </w:t>
      </w:r>
      <w:r w:rsidR="00222CD5" w:rsidRPr="00C64ECB">
        <w:rPr>
          <w:lang w:eastAsia="x-none"/>
        </w:rPr>
        <w:t>preconfigured/pre-indicated/scheduled multiple opportunities in time and/or frequency domain in different LBT sub</w:t>
      </w:r>
      <w:r w:rsidR="00222CD5">
        <w:rPr>
          <w:lang w:eastAsia="x-none"/>
        </w:rPr>
        <w:t>-</w:t>
      </w:r>
      <w:r w:rsidR="00222CD5" w:rsidRPr="00C64ECB">
        <w:rPr>
          <w:lang w:eastAsia="x-none"/>
        </w:rPr>
        <w:t>bands for message 2/3/4 transmissions and/or reducing the latency of the RACH procedure</w:t>
      </w:r>
      <w:r w:rsidR="00572B57">
        <w:rPr>
          <w:lang w:eastAsia="x-none"/>
        </w:rPr>
        <w:t>.</w:t>
      </w:r>
      <w:r>
        <w:rPr>
          <w:lang w:eastAsia="x-none"/>
        </w:rPr>
        <w:t>”</w:t>
      </w:r>
    </w:p>
    <w:p w14:paraId="79290FF0" w14:textId="6857236F" w:rsidR="00572B57" w:rsidRDefault="00572B57" w:rsidP="00222CD5">
      <w:pPr>
        <w:rPr>
          <w:lang w:eastAsia="x-none"/>
        </w:rPr>
      </w:pPr>
      <w:r>
        <w:rPr>
          <w:lang w:eastAsia="x-none"/>
        </w:rPr>
        <w:t>Msg 2 and msg 4 transmissions may be multiplexed with DRS, with unicast PDSCH, or sent in a standalone manner, and channel access methods for initiating a DL COT for the first two approaches have been defined in the TR. Instead of repeating msg 2 and msg 4 transmissions</w:t>
      </w:r>
      <w:r w:rsidR="006A5891">
        <w:rPr>
          <w:lang w:eastAsia="x-none"/>
        </w:rPr>
        <w:t xml:space="preserve">, it is better to define a </w:t>
      </w:r>
      <w:r>
        <w:rPr>
          <w:lang w:eastAsia="x-none"/>
        </w:rPr>
        <w:t xml:space="preserve">channel access mechanism </w:t>
      </w:r>
      <w:r w:rsidR="006A5891">
        <w:rPr>
          <w:lang w:eastAsia="x-none"/>
        </w:rPr>
        <w:t xml:space="preserve">other than Cat-4 LBT </w:t>
      </w:r>
      <w:r>
        <w:rPr>
          <w:lang w:eastAsia="x-none"/>
        </w:rPr>
        <w:t xml:space="preserve">for the standalone </w:t>
      </w:r>
      <w:r w:rsidR="006A5891">
        <w:rPr>
          <w:lang w:eastAsia="x-none"/>
        </w:rPr>
        <w:t xml:space="preserve">transmission </w:t>
      </w:r>
      <w:r>
        <w:rPr>
          <w:lang w:eastAsia="x-none"/>
        </w:rPr>
        <w:t>case. Msg 3 transmissions have an associated HARQ process, thus additional measures for reliability are not essential.</w:t>
      </w:r>
    </w:p>
    <w:p w14:paraId="568BAE76" w14:textId="06FA6257" w:rsidR="004F4495" w:rsidRDefault="00572B57" w:rsidP="00222CD5">
      <w:pPr>
        <w:rPr>
          <w:lang w:eastAsia="x-none"/>
        </w:rPr>
      </w:pPr>
      <w:r>
        <w:rPr>
          <w:lang w:eastAsia="x-none"/>
        </w:rPr>
        <w:t xml:space="preserve">Furthermore, the most effective method of reducing the latency of the RACH procedure is to adopt a 2-step RA procedure. </w:t>
      </w:r>
      <w:r w:rsidR="004F4495">
        <w:rPr>
          <w:lang w:eastAsia="x-none"/>
        </w:rPr>
        <w:t>U</w:t>
      </w:r>
      <w:r>
        <w:rPr>
          <w:lang w:eastAsia="x-none"/>
        </w:rPr>
        <w:t xml:space="preserve">nlicensed </w:t>
      </w:r>
      <w:r w:rsidR="004F4495">
        <w:rPr>
          <w:lang w:eastAsia="x-none"/>
        </w:rPr>
        <w:t xml:space="preserve">spectrum operation is explicitly within the scope of the Rel-16 WI on 2-step RACH </w:t>
      </w:r>
      <w:r w:rsidR="004F4495">
        <w:rPr>
          <w:lang w:eastAsia="x-none"/>
        </w:rPr>
        <w:fldChar w:fldCharType="begin"/>
      </w:r>
      <w:r w:rsidR="004F4495">
        <w:rPr>
          <w:lang w:eastAsia="x-none"/>
        </w:rPr>
        <w:instrText xml:space="preserve"> REF _Ref534980785 \r \h </w:instrText>
      </w:r>
      <w:r w:rsidR="004F4495">
        <w:rPr>
          <w:lang w:eastAsia="x-none"/>
        </w:rPr>
      </w:r>
      <w:r w:rsidR="004F4495">
        <w:rPr>
          <w:lang w:eastAsia="x-none"/>
        </w:rPr>
        <w:fldChar w:fldCharType="separate"/>
      </w:r>
      <w:r w:rsidR="004F4495">
        <w:rPr>
          <w:lang w:eastAsia="x-none"/>
        </w:rPr>
        <w:t>[3]</w:t>
      </w:r>
      <w:r w:rsidR="004F4495">
        <w:rPr>
          <w:lang w:eastAsia="x-none"/>
        </w:rPr>
        <w:fldChar w:fldCharType="end"/>
      </w:r>
      <w:r w:rsidR="004F4495">
        <w:rPr>
          <w:lang w:eastAsia="x-none"/>
        </w:rPr>
        <w:t>:</w:t>
      </w:r>
    </w:p>
    <w:p w14:paraId="299092B9" w14:textId="120AF410" w:rsidR="004F4495" w:rsidRDefault="004F4495" w:rsidP="004F4495">
      <w:pPr>
        <w:rPr>
          <w:bCs/>
          <w:lang w:eastAsia="zh-CN"/>
        </w:rPr>
      </w:pPr>
      <w:r>
        <w:rPr>
          <w:bCs/>
          <w:lang w:eastAsia="zh-CN"/>
        </w:rPr>
        <w:t>“</w:t>
      </w:r>
      <w:r>
        <w:rPr>
          <w:rFonts w:hint="eastAsia"/>
          <w:bCs/>
          <w:lang w:eastAsia="zh-CN"/>
        </w:rPr>
        <w:t>F</w:t>
      </w:r>
      <w:r>
        <w:rPr>
          <w:bCs/>
          <w:lang w:eastAsia="zh-CN"/>
        </w:rPr>
        <w:t>or unlicensed operation:</w:t>
      </w:r>
    </w:p>
    <w:p w14:paraId="2A598811" w14:textId="26B6F32C" w:rsidR="004F4495" w:rsidRDefault="004F4495" w:rsidP="004F4495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  <w:lang w:eastAsia="zh-CN"/>
        </w:rPr>
      </w:pPr>
      <w:r>
        <w:rPr>
          <w:bCs/>
          <w:lang w:eastAsia="zh-CN"/>
        </w:rPr>
        <w:t>After PRACH and PUSCH design enhancements are completed for NR-U in the Rel-16 NR-U WI, identify and specify the necessary modification of 2-step RACH design for its application in NR-U(RAN1/RAN2)”</w:t>
      </w:r>
    </w:p>
    <w:p w14:paraId="62491AA8" w14:textId="77777777" w:rsidR="004F4495" w:rsidRDefault="004F4495" w:rsidP="00222CD5">
      <w:pPr>
        <w:rPr>
          <w:lang w:eastAsia="x-none"/>
        </w:rPr>
      </w:pPr>
    </w:p>
    <w:p w14:paraId="6221989C" w14:textId="37C7998B" w:rsidR="00572B57" w:rsidRDefault="004F4495" w:rsidP="00222CD5">
      <w:pPr>
        <w:rPr>
          <w:lang w:eastAsia="x-none"/>
        </w:rPr>
      </w:pPr>
      <w:r>
        <w:rPr>
          <w:lang w:eastAsia="x-none"/>
        </w:rPr>
        <w:t>Therefore, it is counter-productive to further optimize 4-step latency since its performance will be lower-bounded by the 2-step method.</w:t>
      </w:r>
    </w:p>
    <w:p w14:paraId="1B16B43E" w14:textId="7F5A437B" w:rsidR="007632E9" w:rsidRPr="00BC290B" w:rsidRDefault="00572B57" w:rsidP="007632E9">
      <w:pPr>
        <w:rPr>
          <w:b/>
        </w:rPr>
      </w:pPr>
      <w:r>
        <w:rPr>
          <w:b/>
        </w:rPr>
        <w:t>Proposal 1</w:t>
      </w:r>
      <w:r w:rsidR="007632E9" w:rsidRPr="00BC290B">
        <w:rPr>
          <w:b/>
        </w:rPr>
        <w:t>:</w:t>
      </w:r>
      <w:r>
        <w:rPr>
          <w:b/>
        </w:rPr>
        <w:t xml:space="preserve"> </w:t>
      </w:r>
      <w:r w:rsidR="00222CD5">
        <w:rPr>
          <w:b/>
        </w:rPr>
        <w:t xml:space="preserve"> </w:t>
      </w:r>
      <w:r w:rsidR="004F4495">
        <w:rPr>
          <w:b/>
        </w:rPr>
        <w:t>De-prioritize latency enhancements for 4-step RA due to inclusion of 2-step RA in NR-U.</w:t>
      </w:r>
    </w:p>
    <w:p w14:paraId="3CA65251" w14:textId="77777777" w:rsidR="007632E9" w:rsidRPr="00C64ECB" w:rsidRDefault="007632E9" w:rsidP="007632E9">
      <w:pPr>
        <w:pStyle w:val="B1"/>
        <w:ind w:left="0" w:firstLine="0"/>
      </w:pPr>
    </w:p>
    <w:p w14:paraId="0341D758" w14:textId="77777777" w:rsidR="00ED6DB9" w:rsidRPr="00ED6DB9" w:rsidRDefault="00ED6DB9" w:rsidP="00ED6DB9"/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0333097C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examined </w:t>
      </w:r>
      <w:r w:rsidR="00572B57">
        <w:t>the necessity of RA procedure enhancements</w:t>
      </w:r>
      <w:r w:rsidR="00427BEF">
        <w:t xml:space="preserve"> for NR-U</w:t>
      </w:r>
      <w:r w:rsidR="00575CB3">
        <w:t>. The following observations and proposals ensued.</w:t>
      </w:r>
    </w:p>
    <w:p w14:paraId="0518C948" w14:textId="77777777" w:rsidR="006A5891" w:rsidRDefault="006A5891" w:rsidP="006A5891">
      <w:pPr>
        <w:rPr>
          <w:b/>
        </w:rPr>
      </w:pPr>
      <w:r w:rsidRPr="00A22957">
        <w:rPr>
          <w:b/>
        </w:rPr>
        <w:t>Observation 1: The flexibility for PRACH resources already available in Rel-15 is largely sufficient and performance benefits of candidate enhancements in TR 38.889 are yet to be justified.</w:t>
      </w:r>
    </w:p>
    <w:p w14:paraId="30647190" w14:textId="77777777" w:rsidR="006A5891" w:rsidRPr="00BC290B" w:rsidRDefault="006A5891" w:rsidP="006A5891">
      <w:pPr>
        <w:rPr>
          <w:b/>
        </w:rPr>
      </w:pPr>
      <w:r>
        <w:rPr>
          <w:b/>
        </w:rPr>
        <w:t>Proposal 1</w:t>
      </w:r>
      <w:r w:rsidRPr="00BC290B">
        <w:rPr>
          <w:b/>
        </w:rPr>
        <w:t>:</w:t>
      </w:r>
      <w:r>
        <w:rPr>
          <w:b/>
        </w:rPr>
        <w:t xml:space="preserve">  De-prioritize latency enhancements for 4-step RA due to inclusion of 2-step RA in NR-U.</w:t>
      </w:r>
    </w:p>
    <w:p w14:paraId="08D402D3" w14:textId="77777777" w:rsidR="00877963" w:rsidRDefault="00877963" w:rsidP="0053586B">
      <w:pPr>
        <w:rPr>
          <w:b/>
        </w:rPr>
      </w:pPr>
    </w:p>
    <w:p w14:paraId="6B17445A" w14:textId="77777777" w:rsidR="00257F9A" w:rsidRDefault="00F67C2E" w:rsidP="00F67C2E">
      <w:pPr>
        <w:pStyle w:val="Heading1"/>
      </w:pPr>
      <w:r>
        <w:t>Reference</w:t>
      </w:r>
    </w:p>
    <w:p w14:paraId="209324DE" w14:textId="70AF120F" w:rsidR="00CE01CF" w:rsidRDefault="00CE01CF" w:rsidP="00CE01C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107AF8AA" w14:textId="4126E10E" w:rsidR="006D0E79" w:rsidRDefault="00CE01CF" w:rsidP="00C33192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534795942"/>
      <w:r w:rsidRPr="00ED6DB9">
        <w:rPr>
          <w:rFonts w:eastAsia="SimSun"/>
          <w:color w:val="000000"/>
          <w:lang w:eastAsia="zh-CN"/>
        </w:rPr>
        <w:t>TR 38.889</w:t>
      </w:r>
      <w:r w:rsidR="00ED6DB9" w:rsidRPr="00ED6DB9">
        <w:rPr>
          <w:rFonts w:eastAsia="SimSun"/>
          <w:color w:val="000000"/>
          <w:lang w:eastAsia="zh-CN"/>
        </w:rPr>
        <w:t xml:space="preserve"> v16.0.0</w:t>
      </w:r>
      <w:r w:rsidRPr="00ED6DB9">
        <w:rPr>
          <w:rFonts w:eastAsia="SimSun"/>
          <w:color w:val="000000"/>
          <w:lang w:eastAsia="zh-CN"/>
        </w:rPr>
        <w:t>,</w:t>
      </w:r>
      <w:bookmarkEnd w:id="3"/>
      <w:r w:rsidR="00ED6DB9" w:rsidRPr="00ED6DB9">
        <w:rPr>
          <w:rFonts w:eastAsia="SimSun"/>
          <w:color w:val="000000"/>
          <w:lang w:eastAsia="zh-CN"/>
        </w:rPr>
        <w:t xml:space="preserve"> Study on NR-based access to unlicensed spectrum, (Release 16)</w:t>
      </w:r>
      <w:r w:rsidRPr="00ED6DB9">
        <w:rPr>
          <w:rFonts w:eastAsia="SimSun"/>
          <w:color w:val="000000"/>
          <w:lang w:eastAsia="zh-CN"/>
        </w:rPr>
        <w:t xml:space="preserve"> </w:t>
      </w:r>
    </w:p>
    <w:p w14:paraId="325A33F4" w14:textId="2362C4FC" w:rsidR="004F4495" w:rsidRPr="00ED6DB9" w:rsidRDefault="004F4495" w:rsidP="004F4495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4" w:name="_Ref534980785"/>
      <w:r w:rsidRPr="004F4495">
        <w:rPr>
          <w:rFonts w:eastAsia="SimSun"/>
          <w:color w:val="000000"/>
          <w:lang w:eastAsia="zh-CN"/>
        </w:rPr>
        <w:t>RP-182894</w:t>
      </w:r>
      <w:r>
        <w:rPr>
          <w:rFonts w:eastAsia="SimSun"/>
          <w:color w:val="000000"/>
          <w:lang w:eastAsia="zh-CN"/>
        </w:rPr>
        <w:t>, WID: 2-step RACH for NR</w:t>
      </w:r>
      <w:bookmarkEnd w:id="4"/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3739B" w14:textId="77777777" w:rsidR="00B677E5" w:rsidRDefault="00B677E5" w:rsidP="00424124">
      <w:pPr>
        <w:spacing w:before="0" w:after="0"/>
      </w:pPr>
      <w:r>
        <w:separator/>
      </w:r>
    </w:p>
  </w:endnote>
  <w:endnote w:type="continuationSeparator" w:id="0">
    <w:p w14:paraId="779921FE" w14:textId="77777777" w:rsidR="00B677E5" w:rsidRDefault="00B677E5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C6436" w14:textId="77777777" w:rsidR="00B677E5" w:rsidRDefault="00B677E5" w:rsidP="00424124">
      <w:pPr>
        <w:spacing w:before="0" w:after="0"/>
      </w:pPr>
      <w:r>
        <w:separator/>
      </w:r>
    </w:p>
  </w:footnote>
  <w:footnote w:type="continuationSeparator" w:id="0">
    <w:p w14:paraId="62A9C98D" w14:textId="77777777" w:rsidR="00B677E5" w:rsidRDefault="00B677E5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0C7224"/>
    <w:multiLevelType w:val="hybridMultilevel"/>
    <w:tmpl w:val="2B0A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B845FD"/>
    <w:multiLevelType w:val="hybridMultilevel"/>
    <w:tmpl w:val="8B1C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3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5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8"/>
  </w:num>
  <w:num w:numId="4">
    <w:abstractNumId w:val="2"/>
  </w:num>
  <w:num w:numId="5">
    <w:abstractNumId w:val="34"/>
  </w:num>
  <w:num w:numId="6">
    <w:abstractNumId w:val="32"/>
  </w:num>
  <w:num w:numId="7">
    <w:abstractNumId w:val="3"/>
  </w:num>
  <w:num w:numId="8">
    <w:abstractNumId w:val="12"/>
  </w:num>
  <w:num w:numId="9">
    <w:abstractNumId w:val="33"/>
  </w:num>
  <w:num w:numId="10">
    <w:abstractNumId w:val="9"/>
  </w:num>
  <w:num w:numId="11">
    <w:abstractNumId w:val="8"/>
  </w:num>
  <w:num w:numId="12">
    <w:abstractNumId w:val="15"/>
  </w:num>
  <w:num w:numId="13">
    <w:abstractNumId w:val="21"/>
  </w:num>
  <w:num w:numId="14">
    <w:abstractNumId w:val="26"/>
  </w:num>
  <w:num w:numId="15">
    <w:abstractNumId w:val="4"/>
  </w:num>
  <w:num w:numId="16">
    <w:abstractNumId w:val="17"/>
  </w:num>
  <w:num w:numId="17">
    <w:abstractNumId w:val="28"/>
  </w:num>
  <w:num w:numId="18">
    <w:abstractNumId w:val="28"/>
  </w:num>
  <w:num w:numId="19">
    <w:abstractNumId w:val="19"/>
  </w:num>
  <w:num w:numId="20">
    <w:abstractNumId w:val="10"/>
  </w:num>
  <w:num w:numId="21">
    <w:abstractNumId w:val="1"/>
  </w:num>
  <w:num w:numId="22">
    <w:abstractNumId w:val="27"/>
  </w:num>
  <w:num w:numId="23">
    <w:abstractNumId w:val="30"/>
  </w:num>
  <w:num w:numId="24">
    <w:abstractNumId w:val="35"/>
  </w:num>
  <w:num w:numId="25">
    <w:abstractNumId w:val="11"/>
  </w:num>
  <w:num w:numId="26">
    <w:abstractNumId w:val="18"/>
  </w:num>
  <w:num w:numId="27">
    <w:abstractNumId w:val="7"/>
  </w:num>
  <w:num w:numId="28">
    <w:abstractNumId w:val="0"/>
  </w:num>
  <w:num w:numId="29">
    <w:abstractNumId w:val="14"/>
  </w:num>
  <w:num w:numId="30">
    <w:abstractNumId w:val="20"/>
  </w:num>
  <w:num w:numId="31">
    <w:abstractNumId w:val="23"/>
  </w:num>
  <w:num w:numId="32">
    <w:abstractNumId w:val="16"/>
  </w:num>
  <w:num w:numId="33">
    <w:abstractNumId w:val="29"/>
  </w:num>
  <w:num w:numId="34">
    <w:abstractNumId w:val="24"/>
  </w:num>
  <w:num w:numId="35">
    <w:abstractNumId w:val="31"/>
  </w:num>
  <w:num w:numId="36">
    <w:abstractNumId w:val="6"/>
  </w:num>
  <w:num w:numId="37">
    <w:abstractNumId w:val="25"/>
  </w:num>
  <w:num w:numId="3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1485D"/>
    <w:rsid w:val="000149EC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5800"/>
    <w:rsid w:val="0008625B"/>
    <w:rsid w:val="000865E3"/>
    <w:rsid w:val="000917C5"/>
    <w:rsid w:val="00093068"/>
    <w:rsid w:val="00096B50"/>
    <w:rsid w:val="000977EE"/>
    <w:rsid w:val="000A36A9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37904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37A9"/>
    <w:rsid w:val="001941FB"/>
    <w:rsid w:val="00197607"/>
    <w:rsid w:val="001A34BE"/>
    <w:rsid w:val="001A5A68"/>
    <w:rsid w:val="001A6212"/>
    <w:rsid w:val="001A75E0"/>
    <w:rsid w:val="001B731B"/>
    <w:rsid w:val="001C07DC"/>
    <w:rsid w:val="001C699C"/>
    <w:rsid w:val="001E0CE1"/>
    <w:rsid w:val="001E58CC"/>
    <w:rsid w:val="001F4CF3"/>
    <w:rsid w:val="001F59ED"/>
    <w:rsid w:val="0021123D"/>
    <w:rsid w:val="00211D37"/>
    <w:rsid w:val="00212204"/>
    <w:rsid w:val="00216763"/>
    <w:rsid w:val="00216DF5"/>
    <w:rsid w:val="00220E3A"/>
    <w:rsid w:val="002211DE"/>
    <w:rsid w:val="00222269"/>
    <w:rsid w:val="00222813"/>
    <w:rsid w:val="00222CD5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8740C"/>
    <w:rsid w:val="002879EB"/>
    <w:rsid w:val="0029147A"/>
    <w:rsid w:val="00294DE0"/>
    <w:rsid w:val="00297225"/>
    <w:rsid w:val="002A005E"/>
    <w:rsid w:val="002A0226"/>
    <w:rsid w:val="002A0270"/>
    <w:rsid w:val="002A1134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7097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075BA"/>
    <w:rsid w:val="004137D5"/>
    <w:rsid w:val="004146B7"/>
    <w:rsid w:val="00424124"/>
    <w:rsid w:val="00426B8E"/>
    <w:rsid w:val="00427BEF"/>
    <w:rsid w:val="00434212"/>
    <w:rsid w:val="00434A4B"/>
    <w:rsid w:val="004364F4"/>
    <w:rsid w:val="004372E5"/>
    <w:rsid w:val="00440F6E"/>
    <w:rsid w:val="00443645"/>
    <w:rsid w:val="00443CD6"/>
    <w:rsid w:val="00446BF2"/>
    <w:rsid w:val="00453805"/>
    <w:rsid w:val="004539BD"/>
    <w:rsid w:val="004547B0"/>
    <w:rsid w:val="004552C9"/>
    <w:rsid w:val="004567F3"/>
    <w:rsid w:val="0045714E"/>
    <w:rsid w:val="004607AC"/>
    <w:rsid w:val="0046127E"/>
    <w:rsid w:val="004626B7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3033"/>
    <w:rsid w:val="00493BD6"/>
    <w:rsid w:val="00496EAE"/>
    <w:rsid w:val="004A5ABE"/>
    <w:rsid w:val="004A6424"/>
    <w:rsid w:val="004A69D0"/>
    <w:rsid w:val="004A6A82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6BC0"/>
    <w:rsid w:val="004E6D3B"/>
    <w:rsid w:val="004F264D"/>
    <w:rsid w:val="004F4495"/>
    <w:rsid w:val="004F79FA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2B57"/>
    <w:rsid w:val="005758E7"/>
    <w:rsid w:val="00575CB3"/>
    <w:rsid w:val="005778C8"/>
    <w:rsid w:val="0058113E"/>
    <w:rsid w:val="0058120D"/>
    <w:rsid w:val="00582E47"/>
    <w:rsid w:val="00583D11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1FF0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A5891"/>
    <w:rsid w:val="006B5025"/>
    <w:rsid w:val="006B511E"/>
    <w:rsid w:val="006C452E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21AD7"/>
    <w:rsid w:val="007225EF"/>
    <w:rsid w:val="00722BA6"/>
    <w:rsid w:val="007231EB"/>
    <w:rsid w:val="00723DC5"/>
    <w:rsid w:val="00727952"/>
    <w:rsid w:val="007338D6"/>
    <w:rsid w:val="00740B36"/>
    <w:rsid w:val="00745EBA"/>
    <w:rsid w:val="00746DED"/>
    <w:rsid w:val="00747A6F"/>
    <w:rsid w:val="0075158D"/>
    <w:rsid w:val="0075622F"/>
    <w:rsid w:val="0076067D"/>
    <w:rsid w:val="007632E9"/>
    <w:rsid w:val="00764288"/>
    <w:rsid w:val="0076440A"/>
    <w:rsid w:val="00774F2A"/>
    <w:rsid w:val="00781A50"/>
    <w:rsid w:val="00782B9C"/>
    <w:rsid w:val="00782CDC"/>
    <w:rsid w:val="007839F9"/>
    <w:rsid w:val="00797765"/>
    <w:rsid w:val="007A2765"/>
    <w:rsid w:val="007A2E96"/>
    <w:rsid w:val="007A546E"/>
    <w:rsid w:val="007B13E5"/>
    <w:rsid w:val="007B2F6B"/>
    <w:rsid w:val="007B473A"/>
    <w:rsid w:val="007C6C1E"/>
    <w:rsid w:val="007D2A36"/>
    <w:rsid w:val="007D2C48"/>
    <w:rsid w:val="007D4056"/>
    <w:rsid w:val="007E0C23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4FBB"/>
    <w:rsid w:val="008661BA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3EE1"/>
    <w:rsid w:val="009C6D2C"/>
    <w:rsid w:val="009D46C1"/>
    <w:rsid w:val="009E0D02"/>
    <w:rsid w:val="009E5838"/>
    <w:rsid w:val="009F3F92"/>
    <w:rsid w:val="009F6C30"/>
    <w:rsid w:val="00A039FE"/>
    <w:rsid w:val="00A04465"/>
    <w:rsid w:val="00A0495F"/>
    <w:rsid w:val="00A06D64"/>
    <w:rsid w:val="00A11704"/>
    <w:rsid w:val="00A11840"/>
    <w:rsid w:val="00A12440"/>
    <w:rsid w:val="00A22957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75A3"/>
    <w:rsid w:val="00AB7FC6"/>
    <w:rsid w:val="00AC334D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AF7415"/>
    <w:rsid w:val="00B03714"/>
    <w:rsid w:val="00B04278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131E"/>
    <w:rsid w:val="00B61A13"/>
    <w:rsid w:val="00B625B1"/>
    <w:rsid w:val="00B648CA"/>
    <w:rsid w:val="00B677E5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657F"/>
    <w:rsid w:val="00C1686B"/>
    <w:rsid w:val="00C218A9"/>
    <w:rsid w:val="00C2432D"/>
    <w:rsid w:val="00C263F4"/>
    <w:rsid w:val="00C34D56"/>
    <w:rsid w:val="00C4691B"/>
    <w:rsid w:val="00C47EE0"/>
    <w:rsid w:val="00C53758"/>
    <w:rsid w:val="00C60992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E01CF"/>
    <w:rsid w:val="00CE0C9D"/>
    <w:rsid w:val="00CE1E0E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910ED"/>
    <w:rsid w:val="00D92B1D"/>
    <w:rsid w:val="00D960F4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B0496"/>
    <w:rsid w:val="00EB3301"/>
    <w:rsid w:val="00EB37F9"/>
    <w:rsid w:val="00EB3E87"/>
    <w:rsid w:val="00EB4A75"/>
    <w:rsid w:val="00EB5FBB"/>
    <w:rsid w:val="00EC6929"/>
    <w:rsid w:val="00EC6A0B"/>
    <w:rsid w:val="00ED407A"/>
    <w:rsid w:val="00ED6012"/>
    <w:rsid w:val="00ED6DB9"/>
    <w:rsid w:val="00EE3517"/>
    <w:rsid w:val="00EE4A18"/>
    <w:rsid w:val="00EF61D1"/>
    <w:rsid w:val="00EF70F2"/>
    <w:rsid w:val="00F01D63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222CD5"/>
    <w:pPr>
      <w:spacing w:before="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B3">
    <w:name w:val="B3"/>
    <w:basedOn w:val="List3"/>
    <w:rsid w:val="00222CD5"/>
    <w:pPr>
      <w:spacing w:before="0" w:after="180"/>
      <w:ind w:left="1135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2Char">
    <w:name w:val="B2 Char"/>
    <w:link w:val="B2"/>
    <w:rsid w:val="00222CD5"/>
    <w:rPr>
      <w:rFonts w:ascii="Times New Roman" w:eastAsia="SimSun" w:hAnsi="Times New Roman"/>
      <w:lang w:val="en-GB" w:eastAsia="x-none"/>
    </w:rPr>
  </w:style>
  <w:style w:type="paragraph" w:customStyle="1" w:styleId="BL">
    <w:name w:val="BL"/>
    <w:basedOn w:val="Normal"/>
    <w:rsid w:val="00222CD5"/>
    <w:pPr>
      <w:numPr>
        <w:numId w:val="37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SimSun" w:hAnsi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222CD5"/>
    <w:pPr>
      <w:ind w:left="1080" w:hanging="360"/>
      <w:contextualSpacing/>
    </w:pPr>
  </w:style>
  <w:style w:type="table" w:styleId="GridTable4-Accent1">
    <w:name w:val="Grid Table 4 Accent 1"/>
    <w:basedOn w:val="TableNormal"/>
    <w:uiPriority w:val="49"/>
    <w:rsid w:val="004F79F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140E8-95F1-4BEF-8CF1-9EE916279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32</cp:revision>
  <cp:lastPrinted>2016-02-23T15:51:00Z</cp:lastPrinted>
  <dcterms:created xsi:type="dcterms:W3CDTF">2018-09-25T00:48:00Z</dcterms:created>
  <dcterms:modified xsi:type="dcterms:W3CDTF">2019-01-11T13:44:00Z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